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E8EB1" w14:textId="77777777" w:rsidR="00A06971" w:rsidRDefault="00276A4B">
      <w:pPr>
        <w:pStyle w:val="Tytu"/>
      </w:pPr>
      <w:r>
        <w:t>INWESTYCJE KAPITAŁOWE MARR S.A.</w:t>
      </w:r>
    </w:p>
    <w:p w14:paraId="3784E428" w14:textId="77777777" w:rsidR="00A06971" w:rsidRDefault="00276A4B">
      <w:pPr>
        <w:spacing w:after="300"/>
      </w:pPr>
      <w:r>
        <w:rPr>
          <w:b/>
          <w:sz w:val="22"/>
        </w:rPr>
        <w:t>Zasady finansowania i przebieg procesu inwestycyjnego</w:t>
      </w:r>
    </w:p>
    <w:p w14:paraId="0031B3CB" w14:textId="77777777" w:rsidR="00A06971" w:rsidRDefault="00276A4B">
      <w:pPr>
        <w:pStyle w:val="Nagwek1"/>
      </w:pPr>
      <w:r>
        <w:t>Podstawowe zasady finansowania</w:t>
      </w:r>
    </w:p>
    <w:p w14:paraId="0DCB1D62" w14:textId="77777777" w:rsidR="00A06971" w:rsidRDefault="00276A4B">
      <w:pPr>
        <w:ind w:left="369" w:hanging="369"/>
      </w:pPr>
      <w:r>
        <w:rPr>
          <w:b/>
        </w:rPr>
        <w:t xml:space="preserve">1. </w:t>
      </w:r>
      <w:r>
        <w:t>MARR S.A. oferuje wsparcie finansowe innowacyjnych pomysłów biznesowych poprzez obejmowanie udziałów w nowo tworzonych spółkach. Proces prowadzi Departament Innowacji i Rozwoju Biznesu (DIRB).</w:t>
      </w:r>
    </w:p>
    <w:p w14:paraId="4432F9A4" w14:textId="77777777" w:rsidR="00A06971" w:rsidRDefault="00276A4B">
      <w:pPr>
        <w:ind w:left="369" w:hanging="369"/>
      </w:pPr>
      <w:r>
        <w:rPr>
          <w:b/>
        </w:rPr>
        <w:t xml:space="preserve">2. </w:t>
      </w:r>
      <w:r>
        <w:t>Środki na wejścia kapitałowe MARR S.A. pochodzą z funduszu „Inwestycje Kapitałowe”.</w:t>
      </w:r>
    </w:p>
    <w:p w14:paraId="729FE3E5" w14:textId="77777777" w:rsidR="00A06971" w:rsidRDefault="00276A4B">
      <w:pPr>
        <w:ind w:left="369" w:hanging="369"/>
      </w:pPr>
      <w:r>
        <w:rPr>
          <w:b/>
        </w:rPr>
        <w:t xml:space="preserve">3. </w:t>
      </w:r>
      <w:r>
        <w:t>Podstawowym warunkiem podjęcia decyzji o utworzeniu spółki i jej dokapitalizowaniu jest potwierdzenie rynkowej i finansowej opłacalności przedsięwzięcia w toku oceny.</w:t>
      </w:r>
    </w:p>
    <w:p w14:paraId="7AF6BA01" w14:textId="77777777" w:rsidR="00A06971" w:rsidRDefault="00276A4B">
      <w:pPr>
        <w:ind w:left="369" w:hanging="369"/>
      </w:pPr>
      <w:r>
        <w:rPr>
          <w:b/>
        </w:rPr>
        <w:t xml:space="preserve">4. </w:t>
      </w:r>
      <w:r>
        <w:t>Nowa spółka powstaje w formie spółki z ograniczoną odpowiedzialnością.</w:t>
      </w:r>
    </w:p>
    <w:p w14:paraId="664AB544" w14:textId="77777777" w:rsidR="00A06971" w:rsidRDefault="00276A4B">
      <w:pPr>
        <w:ind w:left="369" w:hanging="369"/>
      </w:pPr>
      <w:r>
        <w:rPr>
          <w:b/>
        </w:rPr>
        <w:t xml:space="preserve">5. </w:t>
      </w:r>
      <w:r>
        <w:t>Udziałowcami nowej spółki są MARR S.A. oraz projektodawca lub projektodawcy (osoby fizyczne lub prawne). Udział MARR S.A. nie przekracza 50% kapitału zakładowego spółki.</w:t>
      </w:r>
    </w:p>
    <w:p w14:paraId="5B18EA1D" w14:textId="77777777" w:rsidR="00A06971" w:rsidRDefault="00276A4B">
      <w:pPr>
        <w:ind w:left="369" w:hanging="369"/>
      </w:pPr>
      <w:r>
        <w:rPr>
          <w:b/>
        </w:rPr>
        <w:t xml:space="preserve">6. </w:t>
      </w:r>
      <w:r>
        <w:t>Wkład MARR S.A. na kapitał zakładowy jest pieniężny. Wkład projektodawcy może mieć formę pieniężną lub niepieniężną (aport).</w:t>
      </w:r>
    </w:p>
    <w:p w14:paraId="65DA3067" w14:textId="77777777" w:rsidR="00A06971" w:rsidRDefault="00276A4B">
      <w:pPr>
        <w:ind w:left="369" w:hanging="369"/>
      </w:pPr>
      <w:r>
        <w:rPr>
          <w:b/>
        </w:rPr>
        <w:t xml:space="preserve">7. </w:t>
      </w:r>
      <w:r>
        <w:t>Przed zawiązaniem spółki aport wnoszony przez projektodawcę podlega wycenie przez biegłego. Koszty wyceny ponoszą MARR S.A. i projektodawca po połowie.</w:t>
      </w:r>
    </w:p>
    <w:p w14:paraId="7E7FBF66" w14:textId="450F36B9" w:rsidR="00A06971" w:rsidRDefault="00276A4B">
      <w:pPr>
        <w:ind w:left="369" w:hanging="369"/>
      </w:pPr>
      <w:r>
        <w:rPr>
          <w:b/>
        </w:rPr>
        <w:t xml:space="preserve">8. </w:t>
      </w:r>
      <w:r>
        <w:t xml:space="preserve">Maksymalny wkład MARR S.A. na kapitał zakładowy wynosi </w:t>
      </w:r>
      <w:r w:rsidR="000D7CEA">
        <w:t>3</w:t>
      </w:r>
      <w:r>
        <w:t>00 000 EUR, zgodnie z limitem wskazanym w zasadach funduszu. Wkład MARR S.A. jest przekazywany w transzach.</w:t>
      </w:r>
    </w:p>
    <w:p w14:paraId="05DEA00C" w14:textId="77777777" w:rsidR="00A06971" w:rsidRDefault="00276A4B">
      <w:pPr>
        <w:pStyle w:val="Nagwek1"/>
      </w:pPr>
      <w:r>
        <w:t>Etapy procesu inwestycyjnego</w:t>
      </w:r>
    </w:p>
    <w:p w14:paraId="48AEA6BA" w14:textId="77777777" w:rsidR="00A06971" w:rsidRDefault="00276A4B">
      <w:pPr>
        <w:keepLines/>
        <w:ind w:left="369" w:hanging="369"/>
      </w:pPr>
      <w:r>
        <w:rPr>
          <w:b/>
        </w:rPr>
        <w:t xml:space="preserve">1. Kontakt wstępny. </w:t>
      </w:r>
      <w:r>
        <w:t>Projektodawca kontaktuje się z Departamentem Innowacji i Rozwoju Biznesu MARR S.A.</w:t>
      </w:r>
      <w:r>
        <w:br/>
        <w:t>anna.sowa-jadczyk@marr.pl, tel. 12 617 66 87</w:t>
      </w:r>
      <w:r>
        <w:br/>
        <w:t>lilianna.piwowarska-solarz@marr.pl, tel. 12 617 66 72.</w:t>
      </w:r>
    </w:p>
    <w:p w14:paraId="6F3F1A83" w14:textId="77777777" w:rsidR="00A06971" w:rsidRDefault="00276A4B">
      <w:pPr>
        <w:keepLines/>
        <w:ind w:left="369" w:hanging="369"/>
      </w:pPr>
      <w:r>
        <w:rPr>
          <w:b/>
        </w:rPr>
        <w:t xml:space="preserve">2. Pierwsze spotkanie – Pitch Deck 1. </w:t>
      </w:r>
      <w:r>
        <w:t>Projektodawca przedstawia pomysł biznesowy podczas wewnętrznego spotkania. Na tej podstawie podejmowana jest decyzja o dalszym procedowaniu projektu.</w:t>
      </w:r>
    </w:p>
    <w:p w14:paraId="62E917D6" w14:textId="77777777" w:rsidR="00A06971" w:rsidRDefault="00276A4B">
      <w:pPr>
        <w:keepLines/>
        <w:ind w:left="369" w:hanging="369"/>
      </w:pPr>
      <w:r>
        <w:rPr>
          <w:b/>
        </w:rPr>
        <w:t xml:space="preserve">3. Udostępnienie wzorów dokumentów. </w:t>
      </w:r>
      <w:r>
        <w:t>Na adres e-mail wskazany we wniosku o świadczenie usług projektodawca otrzymuje formularz biznesplanu wraz z częścią finansową oraz, na życzenie, projekt umowy o poufności (NDA).</w:t>
      </w:r>
    </w:p>
    <w:p w14:paraId="23445D83" w14:textId="77777777" w:rsidR="00A06971" w:rsidRDefault="00276A4B">
      <w:pPr>
        <w:keepLines/>
        <w:ind w:left="369" w:hanging="369"/>
      </w:pPr>
      <w:r>
        <w:rPr>
          <w:b/>
        </w:rPr>
        <w:t xml:space="preserve">4. Umowa o poufności (opcjonalnie). </w:t>
      </w:r>
      <w:r>
        <w:t>Jeżeli strony uznają to za potrzebne, projektodawca i MARR S.A. podpisują umowę NDA.</w:t>
      </w:r>
    </w:p>
    <w:p w14:paraId="10C42C3B" w14:textId="77777777" w:rsidR="00A06971" w:rsidRDefault="00276A4B">
      <w:pPr>
        <w:keepLines/>
        <w:ind w:left="369" w:hanging="369"/>
      </w:pPr>
      <w:r>
        <w:rPr>
          <w:b/>
        </w:rPr>
        <w:t xml:space="preserve">5. Przekazanie biznesplanu. </w:t>
      </w:r>
      <w:r>
        <w:t>Projektodawca przekazuje wypełniony biznesplan wraz z częścią finansową do DIRB.</w:t>
      </w:r>
    </w:p>
    <w:p w14:paraId="50E18B68" w14:textId="77777777" w:rsidR="00A06971" w:rsidRDefault="00276A4B">
      <w:pPr>
        <w:keepLines/>
        <w:ind w:left="369" w:hanging="369"/>
      </w:pPr>
      <w:r>
        <w:rPr>
          <w:b/>
        </w:rPr>
        <w:t xml:space="preserve">6. Analiza dokumentacji. </w:t>
      </w:r>
      <w:r>
        <w:t>DIRB analizuje biznesplan i część finansową, a następnie uzgadnia z projektodawcą niezbędne wyjaśnienia, uzupełnienia i korekty. Rezultatem są ostateczne dokumenty oraz wewnętrzna opinia DIRB o przedsięwzięciu.</w:t>
      </w:r>
    </w:p>
    <w:p w14:paraId="77ADE28E" w14:textId="77777777" w:rsidR="00A06971" w:rsidRDefault="00276A4B">
      <w:pPr>
        <w:keepLines/>
        <w:ind w:left="369" w:hanging="369"/>
      </w:pPr>
      <w:r>
        <w:rPr>
          <w:b/>
        </w:rPr>
        <w:t xml:space="preserve">7. Przekazanie dokumentów Komitetowi Inwestycyjnemu. </w:t>
      </w:r>
      <w:r>
        <w:t>DIRB kieruje biznesplan, część finansową i swoją opinię do Komitetu Inwestycyjnego MARR S.A.</w:t>
      </w:r>
    </w:p>
    <w:p w14:paraId="64D95041" w14:textId="77777777" w:rsidR="00A06971" w:rsidRDefault="00276A4B">
      <w:pPr>
        <w:keepLines/>
        <w:ind w:left="369" w:hanging="369"/>
      </w:pPr>
      <w:r>
        <w:rPr>
          <w:b/>
        </w:rPr>
        <w:t xml:space="preserve">8. Posiedzenie Komitetu Inwestycyjnego – Pitch Deck 2. </w:t>
      </w:r>
      <w:r>
        <w:t>Projektodawca zostaje zaproszony na posiedzenie Komitetu, aby zaprezentować przedsięwzięcie i odpowiedzieć na pytania.</w:t>
      </w:r>
    </w:p>
    <w:p w14:paraId="7FE8B263" w14:textId="77777777" w:rsidR="00A06971" w:rsidRDefault="00276A4B">
      <w:pPr>
        <w:keepLines/>
        <w:ind w:left="369" w:hanging="369"/>
      </w:pPr>
      <w:r>
        <w:rPr>
          <w:b/>
        </w:rPr>
        <w:lastRenderedPageBreak/>
        <w:t xml:space="preserve">9. Rozstrzygnięcie Komitetu Inwestycyjnego. </w:t>
      </w:r>
      <w:r>
        <w:t>Komitet Inwestycyjny podejmuje decyzję o wejściu kapitałowym do nowej spółki albo o odrzuceniu projektu.</w:t>
      </w:r>
    </w:p>
    <w:p w14:paraId="1D108BEF" w14:textId="77777777" w:rsidR="00A06971" w:rsidRDefault="00276A4B">
      <w:pPr>
        <w:keepLines/>
        <w:ind w:left="369" w:hanging="369"/>
      </w:pPr>
      <w:r>
        <w:rPr>
          <w:b/>
        </w:rPr>
        <w:t xml:space="preserve">10. Uzgodnienie warunków i utworzenie spółki. </w:t>
      </w:r>
      <w:r>
        <w:t>Strony negocjują umowę inwestycyjną określającą m.in. zasady utworzenia i funkcjonowania spółki oraz wejścia i wyjścia kapitałowego MARR S.A. Dokumenty dotyczące spółki stanowią załączniki do umowy. W przypadku aportu wykonywana jest jego wycena. Następnie zakładana jest spółka z o.o. zgodnie z Kodeksem spółek handlowych.</w:t>
      </w:r>
    </w:p>
    <w:p w14:paraId="1ED50EFE" w14:textId="77777777" w:rsidR="00A06971" w:rsidRDefault="00276A4B">
      <w:pPr>
        <w:keepLines/>
        <w:ind w:left="369" w:hanging="369"/>
      </w:pPr>
      <w:r>
        <w:rPr>
          <w:b/>
        </w:rPr>
        <w:t xml:space="preserve">11. Wyjście kapitałowe MARR S.A.. </w:t>
      </w:r>
      <w:r>
        <w:t>Wyjście MARR S.A. ze spółki następuje po upływie okresu inwestycyjnego, na warunkach określonych w umowie inwestycyjnej.</w:t>
      </w:r>
    </w:p>
    <w:sectPr w:rsidR="00A06971" w:rsidSect="00034616">
      <w:footerReference w:type="default" r:id="rId8"/>
      <w:headerReference w:type="first" r:id="rId9"/>
      <w:pgSz w:w="11906" w:h="16838"/>
      <w:pgMar w:top="1247" w:right="1247" w:bottom="1020" w:left="1247" w:header="397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AABF5" w14:textId="77777777" w:rsidR="00E84D82" w:rsidRDefault="00E84D82">
      <w:pPr>
        <w:spacing w:after="0" w:line="240" w:lineRule="auto"/>
      </w:pPr>
      <w:r>
        <w:separator/>
      </w:r>
    </w:p>
  </w:endnote>
  <w:endnote w:type="continuationSeparator" w:id="0">
    <w:p w14:paraId="232C883F" w14:textId="77777777" w:rsidR="00E84D82" w:rsidRDefault="00E84D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A6674" w14:textId="77777777" w:rsidR="00A06971" w:rsidRDefault="00276A4B">
    <w:pPr>
      <w:pStyle w:val="Stopka"/>
      <w:jc w:val="right"/>
    </w:pPr>
    <w:r>
      <w:rPr>
        <w:color w:val="6E6E6E"/>
        <w:sz w:val="16"/>
      </w:rPr>
      <w:t xml:space="preserve">MARR S.A.  |  </w:t>
    </w:r>
    <w:proofErr w:type="spellStart"/>
    <w:r>
      <w:rPr>
        <w:color w:val="6E6E6E"/>
        <w:sz w:val="16"/>
      </w:rPr>
      <w:t>Informacja</w:t>
    </w:r>
    <w:proofErr w:type="spellEnd"/>
    <w:r>
      <w:rPr>
        <w:color w:val="6E6E6E"/>
        <w:sz w:val="16"/>
      </w:rPr>
      <w:t xml:space="preserve"> dla </w:t>
    </w:r>
    <w:proofErr w:type="spellStart"/>
    <w:r>
      <w:rPr>
        <w:color w:val="6E6E6E"/>
        <w:sz w:val="16"/>
      </w:rPr>
      <w:t>projektodawców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3E11F" w14:textId="77777777" w:rsidR="00E84D82" w:rsidRDefault="00E84D82">
      <w:pPr>
        <w:spacing w:after="0" w:line="240" w:lineRule="auto"/>
      </w:pPr>
      <w:r>
        <w:separator/>
      </w:r>
    </w:p>
  </w:footnote>
  <w:footnote w:type="continuationSeparator" w:id="0">
    <w:p w14:paraId="437520A9" w14:textId="77777777" w:rsidR="00E84D82" w:rsidRDefault="00E84D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3015E" w14:textId="77777777" w:rsidR="00A06971" w:rsidRDefault="00276A4B">
    <w:pPr>
      <w:pStyle w:val="Nagwek"/>
      <w:jc w:val="right"/>
    </w:pPr>
    <w:r>
      <w:rPr>
        <w:noProof/>
      </w:rPr>
      <w:drawing>
        <wp:inline distT="0" distB="0" distL="0" distR="0" wp14:anchorId="68A61662" wp14:editId="46B59E4B">
          <wp:extent cx="1260000" cy="756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0000" cy="75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1341054">
    <w:abstractNumId w:val="8"/>
  </w:num>
  <w:num w:numId="2" w16cid:durableId="2026594690">
    <w:abstractNumId w:val="6"/>
  </w:num>
  <w:num w:numId="3" w16cid:durableId="797987866">
    <w:abstractNumId w:val="5"/>
  </w:num>
  <w:num w:numId="4" w16cid:durableId="1013609272">
    <w:abstractNumId w:val="4"/>
  </w:num>
  <w:num w:numId="5" w16cid:durableId="1160386504">
    <w:abstractNumId w:val="7"/>
  </w:num>
  <w:num w:numId="6" w16cid:durableId="1192887982">
    <w:abstractNumId w:val="3"/>
  </w:num>
  <w:num w:numId="7" w16cid:durableId="1557933478">
    <w:abstractNumId w:val="2"/>
  </w:num>
  <w:num w:numId="8" w16cid:durableId="688261960">
    <w:abstractNumId w:val="1"/>
  </w:num>
  <w:num w:numId="9" w16cid:durableId="2075925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7CEA"/>
    <w:rsid w:val="0015074B"/>
    <w:rsid w:val="00276A4B"/>
    <w:rsid w:val="0029639D"/>
    <w:rsid w:val="00326F90"/>
    <w:rsid w:val="00743DC4"/>
    <w:rsid w:val="008061EA"/>
    <w:rsid w:val="00A06971"/>
    <w:rsid w:val="00AA1D8D"/>
    <w:rsid w:val="00B47730"/>
    <w:rsid w:val="00CB0664"/>
    <w:rsid w:val="00E84D82"/>
    <w:rsid w:val="00F05F8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6F080"/>
  <w14:defaultImageDpi w14:val="300"/>
  <w15:docId w15:val="{E471D4A4-CA98-4EB6-8704-0A124E2C0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/>
    </w:pPr>
    <w:rPr>
      <w:rFonts w:ascii="Aptos" w:hAnsi="Aptos"/>
      <w:color w:val="373737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color w:val="3C3C3C"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240" w:after="140" w:line="240" w:lineRule="auto"/>
      <w:contextualSpacing/>
    </w:pPr>
    <w:rPr>
      <w:rFonts w:asciiTheme="majorHAnsi" w:eastAsiaTheme="majorEastAsia" w:hAnsiTheme="majorHAnsi" w:cstheme="majorBidi"/>
      <w:b/>
      <w:color w:val="3C3C3C"/>
      <w:spacing w:val="5"/>
      <w:kern w:val="28"/>
      <w:sz w:val="3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480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Sowa-Jadczyk, Anna</cp:lastModifiedBy>
  <cp:revision>2</cp:revision>
  <dcterms:created xsi:type="dcterms:W3CDTF">2026-10-13T08:42:00Z</dcterms:created>
  <dcterms:modified xsi:type="dcterms:W3CDTF">2026-10-13T08:42:00Z</dcterms:modified>
  <cp:category/>
</cp:coreProperties>
</file>